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9BB35" w14:textId="0267544D" w:rsidR="00845D7A" w:rsidRPr="00A13FDD" w:rsidRDefault="00845D7A" w:rsidP="005368C7">
      <w:pPr>
        <w:spacing w:before="240"/>
        <w:contextualSpacing/>
        <w:jc w:val="center"/>
        <w:rPr>
          <w:b/>
          <w:bCs/>
          <w:color w:val="000000" w:themeColor="text1"/>
          <w:sz w:val="26"/>
          <w:szCs w:val="26"/>
        </w:rPr>
      </w:pPr>
      <w:r w:rsidRPr="00A13FDD">
        <w:rPr>
          <w:b/>
          <w:bCs/>
          <w:color w:val="000000" w:themeColor="text1"/>
          <w:sz w:val="26"/>
          <w:szCs w:val="26"/>
        </w:rPr>
        <w:t>Ph</w:t>
      </w:r>
      <w:r w:rsidR="005368C7" w:rsidRPr="00A13FDD">
        <w:rPr>
          <w:b/>
          <w:bCs/>
          <w:color w:val="000000" w:themeColor="text1"/>
          <w:sz w:val="26"/>
          <w:szCs w:val="26"/>
        </w:rPr>
        <w:t>.</w:t>
      </w:r>
      <w:r w:rsidRPr="00A13FDD">
        <w:rPr>
          <w:b/>
          <w:bCs/>
          <w:color w:val="000000" w:themeColor="text1"/>
          <w:sz w:val="26"/>
          <w:szCs w:val="26"/>
        </w:rPr>
        <w:t>D</w:t>
      </w:r>
      <w:r w:rsidR="005368C7" w:rsidRPr="00A13FDD">
        <w:rPr>
          <w:b/>
          <w:bCs/>
          <w:color w:val="000000" w:themeColor="text1"/>
          <w:sz w:val="26"/>
          <w:szCs w:val="26"/>
        </w:rPr>
        <w:t>.</w:t>
      </w:r>
      <w:r w:rsidRPr="00A13FDD">
        <w:rPr>
          <w:b/>
          <w:bCs/>
          <w:color w:val="000000" w:themeColor="text1"/>
          <w:sz w:val="26"/>
          <w:szCs w:val="26"/>
        </w:rPr>
        <w:t xml:space="preserve"> </w:t>
      </w:r>
      <w:r w:rsidR="00A13FDD" w:rsidRPr="00A13FDD">
        <w:rPr>
          <w:b/>
          <w:bCs/>
          <w:color w:val="000000" w:themeColor="text1"/>
          <w:sz w:val="26"/>
          <w:szCs w:val="26"/>
        </w:rPr>
        <w:t xml:space="preserve">Dissertation </w:t>
      </w:r>
      <w:r w:rsidRPr="00A13FDD">
        <w:rPr>
          <w:b/>
          <w:bCs/>
          <w:color w:val="000000" w:themeColor="text1"/>
          <w:sz w:val="26"/>
          <w:szCs w:val="26"/>
        </w:rPr>
        <w:t>Defense</w:t>
      </w:r>
    </w:p>
    <w:p w14:paraId="48FC22C9" w14:textId="77777777" w:rsidR="00845D7A" w:rsidRPr="005368C7" w:rsidRDefault="00845D7A" w:rsidP="00845D7A">
      <w:pPr>
        <w:spacing w:before="240"/>
        <w:contextualSpacing/>
        <w:rPr>
          <w:b/>
          <w:bCs/>
          <w:sz w:val="22"/>
          <w:szCs w:val="22"/>
        </w:rPr>
      </w:pPr>
    </w:p>
    <w:p w14:paraId="0BCF4813" w14:textId="1C81B063" w:rsidR="00845D7A" w:rsidRPr="005368C7" w:rsidRDefault="00845D7A" w:rsidP="00845D7A">
      <w:pPr>
        <w:spacing w:before="240"/>
        <w:contextualSpacing/>
        <w:rPr>
          <w:sz w:val="21"/>
          <w:szCs w:val="21"/>
        </w:rPr>
      </w:pPr>
      <w:r w:rsidRPr="005368C7">
        <w:rPr>
          <w:b/>
          <w:bCs/>
          <w:sz w:val="21"/>
          <w:szCs w:val="21"/>
        </w:rPr>
        <w:t>Candidate:</w:t>
      </w:r>
      <w:r w:rsidRPr="005368C7">
        <w:rPr>
          <w:sz w:val="21"/>
          <w:szCs w:val="21"/>
        </w:rPr>
        <w:tab/>
      </w:r>
      <w:r w:rsidRPr="005368C7">
        <w:rPr>
          <w:sz w:val="21"/>
          <w:szCs w:val="21"/>
        </w:rPr>
        <w:tab/>
      </w:r>
      <w:r w:rsidRPr="005368C7">
        <w:rPr>
          <w:sz w:val="21"/>
          <w:szCs w:val="21"/>
        </w:rPr>
        <w:tab/>
      </w:r>
      <w:r w:rsidR="00E92537">
        <w:rPr>
          <w:sz w:val="21"/>
          <w:szCs w:val="21"/>
        </w:rPr>
        <w:t>Fang Shen</w:t>
      </w:r>
    </w:p>
    <w:p w14:paraId="2A0CA638" w14:textId="0BDCE025" w:rsidR="00845D7A" w:rsidRPr="005368C7" w:rsidRDefault="00845D7A" w:rsidP="00845D7A">
      <w:pPr>
        <w:spacing w:before="240"/>
        <w:contextualSpacing/>
        <w:rPr>
          <w:sz w:val="21"/>
          <w:szCs w:val="21"/>
        </w:rPr>
      </w:pPr>
      <w:r w:rsidRPr="005368C7">
        <w:rPr>
          <w:b/>
          <w:sz w:val="21"/>
          <w:szCs w:val="21"/>
        </w:rPr>
        <w:t>Degree:</w:t>
      </w:r>
      <w:r w:rsidRPr="005368C7">
        <w:rPr>
          <w:b/>
          <w:sz w:val="21"/>
          <w:szCs w:val="21"/>
        </w:rPr>
        <w:tab/>
      </w:r>
      <w:r w:rsidRPr="005368C7">
        <w:rPr>
          <w:b/>
          <w:sz w:val="21"/>
          <w:szCs w:val="21"/>
        </w:rPr>
        <w:tab/>
      </w:r>
      <w:r w:rsidRPr="005368C7">
        <w:rPr>
          <w:b/>
          <w:sz w:val="21"/>
          <w:szCs w:val="21"/>
        </w:rPr>
        <w:tab/>
      </w:r>
      <w:r w:rsidR="005368C7">
        <w:rPr>
          <w:b/>
          <w:sz w:val="21"/>
          <w:szCs w:val="21"/>
        </w:rPr>
        <w:tab/>
      </w:r>
      <w:r w:rsidRPr="005368C7">
        <w:rPr>
          <w:sz w:val="21"/>
          <w:szCs w:val="21"/>
        </w:rPr>
        <w:t>Doctor of Philosophy</w:t>
      </w:r>
    </w:p>
    <w:p w14:paraId="4251775A" w14:textId="77777777" w:rsidR="00845D7A" w:rsidRPr="005368C7" w:rsidRDefault="00845D7A" w:rsidP="00845D7A">
      <w:pPr>
        <w:spacing w:before="240"/>
        <w:contextualSpacing/>
        <w:rPr>
          <w:sz w:val="21"/>
          <w:szCs w:val="21"/>
        </w:rPr>
      </w:pPr>
      <w:r w:rsidRPr="005368C7">
        <w:rPr>
          <w:b/>
          <w:sz w:val="21"/>
          <w:szCs w:val="21"/>
        </w:rPr>
        <w:t>School/Department.:</w:t>
      </w:r>
      <w:r w:rsidRPr="005368C7">
        <w:rPr>
          <w:b/>
          <w:sz w:val="21"/>
          <w:szCs w:val="21"/>
        </w:rPr>
        <w:tab/>
      </w:r>
      <w:r w:rsidRPr="005368C7">
        <w:rPr>
          <w:b/>
          <w:sz w:val="21"/>
          <w:szCs w:val="21"/>
        </w:rPr>
        <w:tab/>
      </w:r>
      <w:r w:rsidRPr="005368C7">
        <w:rPr>
          <w:sz w:val="21"/>
          <w:szCs w:val="21"/>
        </w:rPr>
        <w:t>School of Business / Business Administration</w:t>
      </w:r>
    </w:p>
    <w:p w14:paraId="4A5C9CB3" w14:textId="715A7B1B" w:rsidR="00845D7A" w:rsidRPr="005368C7" w:rsidRDefault="00845D7A" w:rsidP="00845D7A">
      <w:pPr>
        <w:spacing w:before="240"/>
        <w:contextualSpacing/>
        <w:rPr>
          <w:b/>
          <w:sz w:val="21"/>
          <w:szCs w:val="21"/>
        </w:rPr>
      </w:pPr>
      <w:r w:rsidRPr="005368C7">
        <w:rPr>
          <w:b/>
          <w:sz w:val="21"/>
          <w:szCs w:val="21"/>
        </w:rPr>
        <w:t>Date:</w:t>
      </w:r>
      <w:r w:rsidRPr="005368C7">
        <w:rPr>
          <w:b/>
          <w:sz w:val="21"/>
          <w:szCs w:val="21"/>
        </w:rPr>
        <w:tab/>
      </w:r>
      <w:r w:rsidRPr="005368C7">
        <w:rPr>
          <w:b/>
          <w:sz w:val="21"/>
          <w:szCs w:val="21"/>
        </w:rPr>
        <w:tab/>
      </w:r>
      <w:r w:rsidRPr="005368C7">
        <w:rPr>
          <w:b/>
          <w:sz w:val="21"/>
          <w:szCs w:val="21"/>
        </w:rPr>
        <w:tab/>
      </w:r>
      <w:r w:rsidRPr="005368C7">
        <w:rPr>
          <w:b/>
          <w:sz w:val="21"/>
          <w:szCs w:val="21"/>
        </w:rPr>
        <w:tab/>
      </w:r>
      <w:r w:rsidR="00E92537">
        <w:rPr>
          <w:sz w:val="21"/>
          <w:szCs w:val="21"/>
        </w:rPr>
        <w:t>Tuesday</w:t>
      </w:r>
      <w:r w:rsidRPr="005368C7">
        <w:rPr>
          <w:sz w:val="21"/>
          <w:szCs w:val="21"/>
        </w:rPr>
        <w:t xml:space="preserve">, </w:t>
      </w:r>
      <w:r w:rsidR="00E92537">
        <w:rPr>
          <w:sz w:val="21"/>
          <w:szCs w:val="21"/>
        </w:rPr>
        <w:t>August 11</w:t>
      </w:r>
      <w:r w:rsidRPr="005368C7">
        <w:rPr>
          <w:sz w:val="21"/>
          <w:szCs w:val="21"/>
        </w:rPr>
        <w:t>, 202</w:t>
      </w:r>
      <w:r w:rsidR="00E92537">
        <w:rPr>
          <w:sz w:val="21"/>
          <w:szCs w:val="21"/>
        </w:rPr>
        <w:t>6</w:t>
      </w:r>
    </w:p>
    <w:p w14:paraId="5DF4532C" w14:textId="6061E326" w:rsidR="00845D7A" w:rsidRPr="005368C7" w:rsidRDefault="00845D7A" w:rsidP="00845D7A">
      <w:pPr>
        <w:tabs>
          <w:tab w:val="left" w:pos="1806"/>
        </w:tabs>
        <w:contextualSpacing/>
        <w:rPr>
          <w:bCs/>
          <w:sz w:val="21"/>
          <w:szCs w:val="21"/>
        </w:rPr>
      </w:pPr>
      <w:r w:rsidRPr="005368C7">
        <w:rPr>
          <w:b/>
          <w:bCs/>
          <w:sz w:val="21"/>
          <w:szCs w:val="21"/>
        </w:rPr>
        <w:t>Time:</w:t>
      </w:r>
      <w:r w:rsidRPr="005368C7">
        <w:rPr>
          <w:b/>
          <w:bCs/>
          <w:sz w:val="21"/>
          <w:szCs w:val="21"/>
        </w:rPr>
        <w:tab/>
      </w:r>
      <w:r w:rsidRPr="005368C7">
        <w:rPr>
          <w:b/>
          <w:bCs/>
          <w:sz w:val="21"/>
          <w:szCs w:val="21"/>
        </w:rPr>
        <w:tab/>
      </w:r>
      <w:r w:rsidRPr="005368C7">
        <w:rPr>
          <w:b/>
          <w:bCs/>
          <w:sz w:val="21"/>
          <w:szCs w:val="21"/>
        </w:rPr>
        <w:tab/>
      </w:r>
      <w:r w:rsidRPr="005368C7">
        <w:rPr>
          <w:bCs/>
          <w:sz w:val="21"/>
          <w:szCs w:val="21"/>
        </w:rPr>
        <w:t>1</w:t>
      </w:r>
      <w:r w:rsidR="00E92537">
        <w:rPr>
          <w:bCs/>
          <w:sz w:val="21"/>
          <w:szCs w:val="21"/>
        </w:rPr>
        <w:t>0</w:t>
      </w:r>
      <w:r w:rsidRPr="005368C7">
        <w:rPr>
          <w:bCs/>
          <w:sz w:val="21"/>
          <w:szCs w:val="21"/>
        </w:rPr>
        <w:t>:00</w:t>
      </w:r>
      <w:r w:rsidR="00E92537">
        <w:rPr>
          <w:bCs/>
          <w:sz w:val="21"/>
          <w:szCs w:val="21"/>
        </w:rPr>
        <w:t xml:space="preserve"> am</w:t>
      </w:r>
      <w:r w:rsidRPr="005368C7">
        <w:rPr>
          <w:bCs/>
          <w:sz w:val="21"/>
          <w:szCs w:val="21"/>
        </w:rPr>
        <w:t xml:space="preserve"> – 12:</w:t>
      </w:r>
      <w:r w:rsidR="00E92537">
        <w:rPr>
          <w:bCs/>
          <w:sz w:val="21"/>
          <w:szCs w:val="21"/>
        </w:rPr>
        <w:t>0</w:t>
      </w:r>
      <w:r w:rsidRPr="005368C7">
        <w:rPr>
          <w:bCs/>
          <w:sz w:val="21"/>
          <w:szCs w:val="21"/>
        </w:rPr>
        <w:t>0 pm</w:t>
      </w:r>
    </w:p>
    <w:p w14:paraId="17C0557F" w14:textId="5C801FC6" w:rsidR="005368C7" w:rsidRPr="005368C7" w:rsidRDefault="00845D7A" w:rsidP="00845D7A">
      <w:pPr>
        <w:tabs>
          <w:tab w:val="left" w:pos="1806"/>
        </w:tabs>
        <w:contextualSpacing/>
        <w:rPr>
          <w:bCs/>
          <w:sz w:val="21"/>
          <w:szCs w:val="21"/>
        </w:rPr>
      </w:pPr>
      <w:r w:rsidRPr="005368C7">
        <w:rPr>
          <w:b/>
          <w:sz w:val="21"/>
          <w:szCs w:val="21"/>
        </w:rPr>
        <w:t xml:space="preserve">Location:                                </w:t>
      </w:r>
      <w:r w:rsidR="005368C7">
        <w:rPr>
          <w:b/>
          <w:sz w:val="21"/>
          <w:szCs w:val="21"/>
        </w:rPr>
        <w:tab/>
      </w:r>
      <w:r w:rsidRPr="005368C7">
        <w:rPr>
          <w:bCs/>
          <w:sz w:val="21"/>
          <w:szCs w:val="21"/>
        </w:rPr>
        <w:t>Hybrid Babbio 6</w:t>
      </w:r>
      <w:r w:rsidR="00E92537">
        <w:rPr>
          <w:bCs/>
          <w:sz w:val="21"/>
          <w:szCs w:val="21"/>
        </w:rPr>
        <w:t>0</w:t>
      </w:r>
      <w:r w:rsidRPr="005368C7">
        <w:rPr>
          <w:bCs/>
          <w:sz w:val="21"/>
          <w:szCs w:val="21"/>
        </w:rPr>
        <w:t>1</w:t>
      </w:r>
    </w:p>
    <w:p w14:paraId="3DB29887" w14:textId="5C296A92" w:rsidR="00845D7A" w:rsidRPr="00E92537" w:rsidRDefault="00845D7A" w:rsidP="00845D7A">
      <w:pPr>
        <w:tabs>
          <w:tab w:val="left" w:pos="1806"/>
        </w:tabs>
        <w:contextualSpacing/>
        <w:rPr>
          <w:bCs/>
          <w:sz w:val="21"/>
          <w:szCs w:val="21"/>
        </w:rPr>
      </w:pPr>
      <w:r w:rsidRPr="005368C7">
        <w:rPr>
          <w:b/>
          <w:bCs/>
          <w:sz w:val="21"/>
          <w:szCs w:val="21"/>
        </w:rPr>
        <w:t xml:space="preserve">Title: </w:t>
      </w:r>
      <w:r w:rsidRPr="005368C7">
        <w:rPr>
          <w:b/>
          <w:bCs/>
          <w:sz w:val="21"/>
          <w:szCs w:val="21"/>
        </w:rPr>
        <w:tab/>
      </w:r>
      <w:r w:rsidRPr="005368C7">
        <w:rPr>
          <w:b/>
          <w:bCs/>
          <w:sz w:val="21"/>
          <w:szCs w:val="21"/>
        </w:rPr>
        <w:tab/>
      </w:r>
      <w:r w:rsidRPr="005368C7">
        <w:rPr>
          <w:b/>
          <w:bCs/>
          <w:sz w:val="21"/>
          <w:szCs w:val="21"/>
        </w:rPr>
        <w:tab/>
      </w:r>
      <w:r w:rsidR="00E92537" w:rsidRPr="00E92537">
        <w:rPr>
          <w:bCs/>
          <w:sz w:val="21"/>
          <w:szCs w:val="21"/>
        </w:rPr>
        <w:t>Three essays on CEO Compensation and Corporate Governance</w:t>
      </w:r>
    </w:p>
    <w:p w14:paraId="0792495D" w14:textId="5FAADE22" w:rsidR="00845D7A" w:rsidRPr="005368C7" w:rsidRDefault="00845D7A" w:rsidP="00845D7A">
      <w:pPr>
        <w:tabs>
          <w:tab w:val="left" w:pos="-3374"/>
        </w:tabs>
        <w:ind w:left="2880" w:hanging="2880"/>
        <w:rPr>
          <w:b/>
          <w:bCs/>
          <w:sz w:val="21"/>
          <w:szCs w:val="21"/>
        </w:rPr>
      </w:pPr>
      <w:r w:rsidRPr="005368C7">
        <w:rPr>
          <w:b/>
          <w:bCs/>
          <w:sz w:val="21"/>
          <w:szCs w:val="21"/>
        </w:rPr>
        <w:t>Chairperson:</w:t>
      </w:r>
      <w:r w:rsidRPr="005368C7">
        <w:rPr>
          <w:b/>
          <w:bCs/>
          <w:sz w:val="21"/>
          <w:szCs w:val="21"/>
        </w:rPr>
        <w:tab/>
      </w:r>
      <w:r w:rsidR="00E92537" w:rsidRPr="005368C7">
        <w:rPr>
          <w:bCs/>
          <w:sz w:val="21"/>
          <w:szCs w:val="21"/>
        </w:rPr>
        <w:t xml:space="preserve">Dr. </w:t>
      </w:r>
      <w:r w:rsidR="00E92537">
        <w:rPr>
          <w:bCs/>
          <w:sz w:val="21"/>
          <w:szCs w:val="21"/>
        </w:rPr>
        <w:t>Emma Ye Wang</w:t>
      </w:r>
      <w:r w:rsidR="00E92537" w:rsidRPr="005368C7">
        <w:rPr>
          <w:bCs/>
          <w:sz w:val="21"/>
          <w:szCs w:val="21"/>
        </w:rPr>
        <w:t>, Finance, School of Business</w:t>
      </w:r>
    </w:p>
    <w:p w14:paraId="225DE952" w14:textId="77777777" w:rsidR="00E92537" w:rsidRPr="005368C7" w:rsidRDefault="00845D7A" w:rsidP="00E92537">
      <w:pPr>
        <w:tabs>
          <w:tab w:val="left" w:pos="1442"/>
          <w:tab w:val="left" w:pos="1806"/>
        </w:tabs>
        <w:rPr>
          <w:b/>
          <w:bCs/>
          <w:sz w:val="21"/>
          <w:szCs w:val="21"/>
        </w:rPr>
      </w:pPr>
      <w:r w:rsidRPr="005368C7">
        <w:rPr>
          <w:b/>
          <w:bCs/>
          <w:sz w:val="21"/>
          <w:szCs w:val="21"/>
        </w:rPr>
        <w:t xml:space="preserve">Committee Members: </w:t>
      </w:r>
      <w:r w:rsidRPr="005368C7">
        <w:rPr>
          <w:b/>
          <w:bCs/>
          <w:sz w:val="21"/>
          <w:szCs w:val="21"/>
        </w:rPr>
        <w:tab/>
      </w:r>
      <w:r w:rsidR="005368C7">
        <w:rPr>
          <w:b/>
          <w:bCs/>
          <w:sz w:val="21"/>
          <w:szCs w:val="21"/>
        </w:rPr>
        <w:tab/>
      </w:r>
      <w:r w:rsidR="00E92537" w:rsidRPr="005368C7">
        <w:rPr>
          <w:bCs/>
          <w:sz w:val="21"/>
          <w:szCs w:val="21"/>
        </w:rPr>
        <w:t xml:space="preserve">Dr. </w:t>
      </w:r>
      <w:r w:rsidR="00E92537">
        <w:rPr>
          <w:sz w:val="21"/>
          <w:szCs w:val="21"/>
        </w:rPr>
        <w:t>Suman Banerjee</w:t>
      </w:r>
      <w:r w:rsidR="00E92537" w:rsidRPr="005368C7">
        <w:rPr>
          <w:sz w:val="21"/>
          <w:szCs w:val="21"/>
        </w:rPr>
        <w:t>, Finance, School of Business</w:t>
      </w:r>
    </w:p>
    <w:p w14:paraId="07CCB11B" w14:textId="77777777" w:rsidR="00E92537" w:rsidRPr="005368C7" w:rsidRDefault="00E92537" w:rsidP="00E92537">
      <w:pPr>
        <w:tabs>
          <w:tab w:val="left" w:pos="-3374"/>
        </w:tabs>
        <w:ind w:left="2880"/>
        <w:rPr>
          <w:bCs/>
          <w:sz w:val="21"/>
          <w:szCs w:val="21"/>
        </w:rPr>
      </w:pPr>
      <w:r w:rsidRPr="005368C7">
        <w:rPr>
          <w:sz w:val="21"/>
          <w:szCs w:val="21"/>
        </w:rPr>
        <w:t xml:space="preserve">Dr. </w:t>
      </w:r>
      <w:r>
        <w:rPr>
          <w:sz w:val="21"/>
          <w:szCs w:val="21"/>
        </w:rPr>
        <w:t>Anand Goel</w:t>
      </w:r>
      <w:r w:rsidRPr="005368C7">
        <w:rPr>
          <w:sz w:val="21"/>
          <w:szCs w:val="21"/>
        </w:rPr>
        <w:t>, Finance, School of Business</w:t>
      </w:r>
    </w:p>
    <w:p w14:paraId="52B302C5" w14:textId="77777777" w:rsidR="00E92537" w:rsidRDefault="00E92537" w:rsidP="00E92537">
      <w:pPr>
        <w:tabs>
          <w:tab w:val="left" w:pos="-3374"/>
        </w:tabs>
        <w:ind w:left="2880"/>
        <w:rPr>
          <w:bCs/>
          <w:sz w:val="21"/>
          <w:szCs w:val="21"/>
        </w:rPr>
      </w:pPr>
      <w:r w:rsidRPr="005368C7">
        <w:rPr>
          <w:sz w:val="21"/>
          <w:szCs w:val="21"/>
        </w:rPr>
        <w:t xml:space="preserve">Dr. </w:t>
      </w:r>
      <w:r>
        <w:rPr>
          <w:sz w:val="21"/>
          <w:szCs w:val="21"/>
        </w:rPr>
        <w:t>Ting Liao</w:t>
      </w:r>
      <w:r w:rsidRPr="005368C7">
        <w:rPr>
          <w:sz w:val="21"/>
          <w:szCs w:val="21"/>
        </w:rPr>
        <w:t xml:space="preserve">, </w:t>
      </w:r>
      <w:r w:rsidRPr="00A01028">
        <w:rPr>
          <w:sz w:val="21"/>
          <w:szCs w:val="21"/>
        </w:rPr>
        <w:t>Systems Engineering, School of Systems and Enterprises</w:t>
      </w:r>
    </w:p>
    <w:p w14:paraId="29CB9A18" w14:textId="387E0E9E" w:rsidR="005368C7" w:rsidRPr="005368C7" w:rsidRDefault="005368C7" w:rsidP="00E92537">
      <w:pPr>
        <w:tabs>
          <w:tab w:val="left" w:pos="1442"/>
          <w:tab w:val="left" w:pos="1806"/>
        </w:tabs>
        <w:rPr>
          <w:bCs/>
          <w:sz w:val="21"/>
          <w:szCs w:val="21"/>
        </w:rPr>
      </w:pPr>
    </w:p>
    <w:p w14:paraId="2918D1A1" w14:textId="77777777" w:rsidR="00845D7A" w:rsidRPr="00A13FDD" w:rsidRDefault="00845D7A" w:rsidP="00991DE2">
      <w:pPr>
        <w:pStyle w:val="Heading1"/>
        <w:jc w:val="center"/>
        <w:rPr>
          <w:rFonts w:ascii="Times New Roman" w:hAnsi="Times New Roman" w:cs="Times New Roman"/>
          <w:b/>
          <w:bCs/>
          <w:color w:val="000000" w:themeColor="text1"/>
          <w:sz w:val="24"/>
          <w:szCs w:val="24"/>
        </w:rPr>
      </w:pPr>
      <w:r w:rsidRPr="00A13FDD">
        <w:rPr>
          <w:rFonts w:ascii="Times New Roman" w:hAnsi="Times New Roman" w:cs="Times New Roman"/>
          <w:b/>
          <w:bCs/>
          <w:color w:val="000000" w:themeColor="text1"/>
          <w:sz w:val="24"/>
          <w:szCs w:val="24"/>
        </w:rPr>
        <w:t>Abstract</w:t>
      </w:r>
    </w:p>
    <w:p w14:paraId="382EE30F" w14:textId="4D511149" w:rsidR="00845D7A" w:rsidRPr="005368C7" w:rsidRDefault="00E92537" w:rsidP="00845D7A">
      <w:pPr>
        <w:pStyle w:val="NoSpacing"/>
        <w:rPr>
          <w:sz w:val="21"/>
          <w:szCs w:val="21"/>
        </w:rPr>
      </w:pPr>
      <w:r w:rsidRPr="00E92537">
        <w:rPr>
          <w:sz w:val="21"/>
          <w:szCs w:val="21"/>
        </w:rPr>
        <w:t>The three essays examine how executive incentives, internal pay structures, and corporate governance shape public firms. They study CEO compensation across firm life cycles, executive pay dispersion under financing constraints, and changes in CEO relative pay and power following TCJA-induced tax windfalls.</w:t>
      </w:r>
      <w:r w:rsidR="00845D7A" w:rsidRPr="005368C7">
        <w:rPr>
          <w:sz w:val="21"/>
          <w:szCs w:val="21"/>
        </w:rPr>
        <w:t xml:space="preserve"> </w:t>
      </w:r>
    </w:p>
    <w:p w14:paraId="79C97A8E" w14:textId="77777777" w:rsidR="00845D7A" w:rsidRPr="005368C7" w:rsidRDefault="00845D7A" w:rsidP="00845D7A">
      <w:pPr>
        <w:pStyle w:val="NoSpacing"/>
        <w:rPr>
          <w:sz w:val="21"/>
          <w:szCs w:val="21"/>
        </w:rPr>
      </w:pPr>
      <w:r w:rsidRPr="005368C7">
        <w:rPr>
          <w:sz w:val="21"/>
          <w:szCs w:val="21"/>
        </w:rPr>
        <w:tab/>
      </w:r>
    </w:p>
    <w:p w14:paraId="416F9E0F" w14:textId="61740DFA" w:rsidR="00845D7A" w:rsidRPr="00E92537" w:rsidRDefault="00845D7A" w:rsidP="00E92537">
      <w:pPr>
        <w:rPr>
          <w:rFonts w:eastAsia="SimSun"/>
          <w:color w:val="000000" w:themeColor="text1"/>
          <w:sz w:val="21"/>
          <w:szCs w:val="21"/>
          <w:lang w:eastAsia="zh-CN"/>
        </w:rPr>
      </w:pPr>
      <w:r w:rsidRPr="005368C7">
        <w:rPr>
          <w:sz w:val="21"/>
          <w:szCs w:val="21"/>
        </w:rPr>
        <w:t xml:space="preserve">The first essay, </w:t>
      </w:r>
      <w:r w:rsidRPr="005368C7">
        <w:rPr>
          <w:i/>
          <w:iCs/>
          <w:sz w:val="21"/>
          <w:szCs w:val="21"/>
        </w:rPr>
        <w:t>“</w:t>
      </w:r>
      <w:r w:rsidR="00E92537" w:rsidRPr="00E92537">
        <w:rPr>
          <w:i/>
          <w:iCs/>
          <w:sz w:val="21"/>
          <w:szCs w:val="21"/>
        </w:rPr>
        <w:t>When Incentives Help and When They Hurt: CEO Compensation, Firm Life Cycle, and Downside risk</w:t>
      </w:r>
      <w:r w:rsidRPr="005368C7">
        <w:rPr>
          <w:i/>
          <w:iCs/>
          <w:sz w:val="21"/>
          <w:szCs w:val="21"/>
        </w:rPr>
        <w:t xml:space="preserve">” </w:t>
      </w:r>
      <w:r w:rsidR="00E92537" w:rsidRPr="00E92537">
        <w:rPr>
          <w:rFonts w:eastAsia="SimSun"/>
          <w:color w:val="000000" w:themeColor="text1"/>
          <w:sz w:val="21"/>
          <w:szCs w:val="21"/>
          <w:lang w:eastAsia="zh-CN"/>
        </w:rPr>
        <w:t xml:space="preserve">examines how CEO compensation shapes downside risk across the firm life cycle. We find that equity-based incentives strengthen downside risk in early life-cycle stages but systematically erode it at maturity, and that option-based compensation is especially destabilizing in mature firms. Fixed compensation becomes increasingly detrimental as firms age. These incentives affect downside risk by altering firms’ investment behavior and crash-risk exposure, including elevated crash risk in mature firms. The effects are stronger among smaller firms, firms led by non-retirement CEOs, and firms with long-tenure CEOs. </w:t>
      </w:r>
      <w:r w:rsidR="00E92537">
        <w:rPr>
          <w:rFonts w:eastAsia="SimSun"/>
          <w:color w:val="000000" w:themeColor="text1"/>
          <w:sz w:val="21"/>
          <w:szCs w:val="21"/>
          <w:lang w:eastAsia="zh-CN"/>
        </w:rPr>
        <w:t>T</w:t>
      </w:r>
      <w:r w:rsidR="00E92537" w:rsidRPr="00E92537">
        <w:rPr>
          <w:rFonts w:eastAsia="SimSun"/>
          <w:color w:val="000000" w:themeColor="text1"/>
          <w:sz w:val="21"/>
          <w:szCs w:val="21"/>
          <w:lang w:eastAsia="zh-CN"/>
        </w:rPr>
        <w:t>he findings underscore the importance of life-cycle-aware compensation design for firm’s future downside risk.</w:t>
      </w:r>
    </w:p>
    <w:p w14:paraId="32DBF661" w14:textId="77777777" w:rsidR="005368C7" w:rsidRPr="005368C7" w:rsidRDefault="005368C7" w:rsidP="00845D7A">
      <w:pPr>
        <w:pStyle w:val="NoSpacing"/>
        <w:rPr>
          <w:sz w:val="21"/>
          <w:szCs w:val="21"/>
        </w:rPr>
      </w:pPr>
    </w:p>
    <w:p w14:paraId="720F84AE" w14:textId="40C5F905" w:rsidR="00845D7A" w:rsidRPr="005368C7" w:rsidRDefault="00845D7A" w:rsidP="00845D7A">
      <w:pPr>
        <w:pStyle w:val="NoSpacing"/>
        <w:rPr>
          <w:sz w:val="21"/>
          <w:szCs w:val="21"/>
        </w:rPr>
      </w:pPr>
      <w:r w:rsidRPr="005368C7">
        <w:rPr>
          <w:sz w:val="21"/>
          <w:szCs w:val="21"/>
        </w:rPr>
        <w:t xml:space="preserve">Second essay, </w:t>
      </w:r>
      <w:r w:rsidRPr="005368C7">
        <w:rPr>
          <w:i/>
          <w:iCs/>
          <w:sz w:val="21"/>
          <w:szCs w:val="21"/>
        </w:rPr>
        <w:t>“</w:t>
      </w:r>
      <w:r w:rsidR="00E92537" w:rsidRPr="00E92537">
        <w:rPr>
          <w:i/>
          <w:iCs/>
          <w:sz w:val="21"/>
          <w:szCs w:val="21"/>
        </w:rPr>
        <w:t>When Unequal Pay Becomes Costly: Executive Pay Dispersion, Financing Constraints, and Residual Risk-Taking</w:t>
      </w:r>
      <w:r w:rsidRPr="005368C7">
        <w:rPr>
          <w:i/>
          <w:iCs/>
          <w:sz w:val="21"/>
          <w:szCs w:val="21"/>
        </w:rPr>
        <w:t>”</w:t>
      </w:r>
      <w:r w:rsidRPr="005368C7">
        <w:rPr>
          <w:sz w:val="21"/>
          <w:szCs w:val="21"/>
        </w:rPr>
        <w:t xml:space="preserve">, </w:t>
      </w:r>
      <w:r w:rsidR="00E92537" w:rsidRPr="00E92537">
        <w:rPr>
          <w:sz w:val="21"/>
          <w:szCs w:val="21"/>
        </w:rPr>
        <w:t xml:space="preserve">examines how executive pay dispersion within the top management team relates to firm risk-taking and performance. </w:t>
      </w:r>
      <w:r w:rsidR="00E92537">
        <w:rPr>
          <w:sz w:val="21"/>
          <w:szCs w:val="21"/>
        </w:rPr>
        <w:t>W</w:t>
      </w:r>
      <w:r w:rsidR="00E92537" w:rsidRPr="00E92537">
        <w:rPr>
          <w:sz w:val="21"/>
          <w:szCs w:val="21"/>
        </w:rPr>
        <w:t>e find greater salary dispersion predicts lower next-year shareholder returns, with a more adverse association among financially constrained firms. Salary dispersion is also more positively associated with subsequent downside and idiosyncratic volatility as financing constraints tighten. Residual-based measures show that pay dispersion amplifies downside and idiosyncratic risk unexplained by benchmark variables. These effects are stronger in firms with high CEO power. The findings suggest that executive pay dispersion is not merely an incentive design choice, but a structural governance feature that might distort residual risk-taking when firms face financial frictions</w:t>
      </w:r>
      <w:r w:rsidRPr="005368C7">
        <w:rPr>
          <w:sz w:val="21"/>
          <w:szCs w:val="21"/>
        </w:rPr>
        <w:t>.</w:t>
      </w:r>
    </w:p>
    <w:p w14:paraId="603542E3" w14:textId="77777777" w:rsidR="005368C7" w:rsidRPr="005368C7" w:rsidRDefault="005368C7" w:rsidP="00845D7A">
      <w:pPr>
        <w:pStyle w:val="NoSpacing"/>
        <w:rPr>
          <w:sz w:val="21"/>
          <w:szCs w:val="21"/>
        </w:rPr>
      </w:pPr>
    </w:p>
    <w:p w14:paraId="7B2245C4" w14:textId="3C490A09" w:rsidR="00B344B5" w:rsidRPr="005368C7" w:rsidRDefault="00845D7A" w:rsidP="005368C7">
      <w:pPr>
        <w:pStyle w:val="NoSpacing"/>
        <w:rPr>
          <w:color w:val="auto"/>
          <w:sz w:val="21"/>
          <w:szCs w:val="21"/>
        </w:rPr>
      </w:pPr>
      <w:r w:rsidRPr="005368C7">
        <w:rPr>
          <w:sz w:val="21"/>
          <w:szCs w:val="21"/>
        </w:rPr>
        <w:t>Third essay, “</w:t>
      </w:r>
      <w:r w:rsidR="00E92537" w:rsidRPr="00E92537">
        <w:rPr>
          <w:i/>
          <w:iCs/>
          <w:sz w:val="21"/>
          <w:szCs w:val="21"/>
        </w:rPr>
        <w:t>Are CEOs Empowered by Windfalls? Evidence from the TCJA</w:t>
      </w:r>
      <w:r w:rsidRPr="005368C7">
        <w:rPr>
          <w:sz w:val="21"/>
          <w:szCs w:val="21"/>
        </w:rPr>
        <w:t xml:space="preserve">”, </w:t>
      </w:r>
      <w:r w:rsidR="00E92537" w:rsidRPr="00E92537">
        <w:rPr>
          <w:sz w:val="21"/>
          <w:szCs w:val="21"/>
        </w:rPr>
        <w:t>studies how exogenous corporate tax windfalls reshape internal executive compensation structures and reallocate CEO power. Using the U.S. Tax Cuts and Jobs Act (TCJA) as a quasi-natural experiment, we exploit cross-sectional variation in firms’ pre-TCJA deferred tax liabilities to identify unexpected tax windfalls. We find that tax windfalls lead to a significant increase in CEO and non-CEO total pay gaps and a modest increase in composite CEO power. These effects are driven primarily by adjustments in option-based compensation and equity-linked incentives, rather than broad increases in cash pay. Event-study estimates confirm the absence of differential pre-trends and document a sharp post-TCJA reallocation of compensation toward CEOs. The power reallocation is concentrated among short-tenure and near retiring CEOs, consistent with strategic exploitation of transitory governance slack following windfall gains.</w:t>
      </w:r>
    </w:p>
    <w:sectPr w:rsidR="00B344B5" w:rsidRPr="005368C7" w:rsidSect="00A13FDD">
      <w:headerReference w:type="even" r:id="rId8"/>
      <w:headerReference w:type="default" r:id="rId9"/>
      <w:footerReference w:type="default" r:id="rId10"/>
      <w:headerReference w:type="first" r:id="rId11"/>
      <w:pgSz w:w="12240" w:h="15840" w:code="1"/>
      <w:pgMar w:top="2700" w:right="1440" w:bottom="1080" w:left="1440" w:header="86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763DB" w14:textId="77777777" w:rsidR="00E501AC" w:rsidRDefault="00E501AC" w:rsidP="00017567">
      <w:r>
        <w:separator/>
      </w:r>
    </w:p>
  </w:endnote>
  <w:endnote w:type="continuationSeparator" w:id="0">
    <w:p w14:paraId="3463D6CD" w14:textId="77777777" w:rsidR="00E501AC" w:rsidRDefault="00E501AC" w:rsidP="0001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167731F-4B6B-BB43-AC3F-5706DCBBF1A3}"/>
    <w:embedBold r:id="rId2" w:fontKey="{2D48FD64-355C-594A-BA72-236D85EACE6C}"/>
    <w:embedItalic r:id="rId3" w:fontKey="{ECAC1BDF-ADC1-1D47-BC56-FE78941E6F0C}"/>
  </w:font>
  <w:font w:name="Symbol">
    <w:panose1 w:val="05050102010706020507"/>
    <w:charset w:val="02"/>
    <w:family w:val="decorative"/>
    <w:pitch w:val="variable"/>
    <w:sig w:usb0="00000000" w:usb1="10000000" w:usb2="00000000" w:usb3="00000000" w:csb0="80000000" w:csb1="00000000"/>
    <w:embedRegular r:id="rId4" w:fontKey="{3922A9A9-CE94-2744-ADA0-059347A5C2D2}"/>
  </w:font>
  <w:font w:name="Courier New">
    <w:panose1 w:val="02070309020205020404"/>
    <w:charset w:val="00"/>
    <w:family w:val="modern"/>
    <w:pitch w:val="fixed"/>
    <w:sig w:usb0="E0002AFF" w:usb1="C0007843" w:usb2="00000009" w:usb3="00000000" w:csb0="000001FF" w:csb1="00000000"/>
    <w:embedRegular r:id="rId5" w:fontKey="{6AF77732-67A9-AB4F-88C4-D93A59C03AA9}"/>
  </w:font>
  <w:font w:name="Wingdings">
    <w:panose1 w:val="05000000000000000000"/>
    <w:charset w:val="4D"/>
    <w:family w:val="decorative"/>
    <w:pitch w:val="variable"/>
    <w:sig w:usb0="00000003" w:usb1="10000000" w:usb2="00000000" w:usb3="00000000" w:csb0="80000001" w:csb1="00000000"/>
    <w:embedRegular r:id="rId6" w:fontKey="{902889B3-962E-5E4D-8360-2C0EAE7560C5}"/>
  </w:font>
  <w:font w:name="Saira Condensed Condensed Mediu">
    <w:altName w:val="﷽﷽﷽﷽﷽﷽﷽﷽ndensed Condensed Mediu"/>
    <w:panose1 w:val="00000000000000000000"/>
    <w:charset w:val="4D"/>
    <w:family w:val="auto"/>
    <w:pitch w:val="variable"/>
    <w:sig w:usb0="A00000FF" w:usb1="500020FB" w:usb2="00000000" w:usb3="00000000" w:csb0="00000193" w:csb1="00000000"/>
    <w:embedRegular r:id="rId7" w:fontKey="{0E20C431-BFD9-5647-B4EB-FCF7C76CBA31}"/>
  </w:font>
  <w:font w:name="Saira Condensed Condensed Light">
    <w:altName w:val="﷽﷽﷽﷽﷽﷽﷽﷽ndensed Condensed Light"/>
    <w:panose1 w:val="00000000000000000000"/>
    <w:charset w:val="4D"/>
    <w:family w:val="auto"/>
    <w:pitch w:val="variable"/>
    <w:sig w:usb0="A00000FF" w:usb1="500020FB" w:usb2="00000000" w:usb3="00000000" w:csb0="00000193" w:csb1="00000000"/>
    <w:embedRegular r:id="rId8" w:fontKey="{E2545E98-3D1B-C040-9E57-51F98DED91F5}"/>
  </w:font>
  <w:font w:name="Garamond">
    <w:panose1 w:val="02020404030301010803"/>
    <w:charset w:val="00"/>
    <w:family w:val="roman"/>
    <w:pitch w:val="variable"/>
    <w:sig w:usb0="00000287" w:usb1="00000002" w:usb2="00000000" w:usb3="00000000" w:csb0="0000009F" w:csb1="00000000"/>
    <w:embedBold r:id="rId9" w:fontKey="{BD0753E6-3CB9-A244-9B0C-EEAC39217F28}"/>
  </w:font>
  <w:font w:name="Tahoma">
    <w:panose1 w:val="020B0604030504040204"/>
    <w:charset w:val="00"/>
    <w:family w:val="swiss"/>
    <w:pitch w:val="variable"/>
    <w:sig w:usb0="E1002EFF" w:usb1="C000605B" w:usb2="00000029" w:usb3="00000000" w:csb0="000101FF" w:csb1="00000000"/>
    <w:embedRegular r:id="rId10" w:fontKey="{19814C3B-C3E4-ED46-A259-69A1C6F134F1}"/>
  </w:font>
  <w:font w:name="Arial">
    <w:panose1 w:val="020B0604020202020204"/>
    <w:charset w:val="00"/>
    <w:family w:val="swiss"/>
    <w:pitch w:val="variable"/>
    <w:sig w:usb0="E0002AFF" w:usb1="C0007843" w:usb2="00000009" w:usb3="00000000" w:csb0="000001FF" w:csb1="00000000"/>
    <w:embedRegular r:id="rId11" w:fontKey="{6A40314D-FF87-F14F-B9B1-8A7B055742F1}"/>
  </w:font>
  <w:font w:name="Calibri">
    <w:panose1 w:val="020F0502020204030204"/>
    <w:charset w:val="00"/>
    <w:family w:val="swiss"/>
    <w:pitch w:val="variable"/>
    <w:sig w:usb0="E0002AFF" w:usb1="C000247B" w:usb2="00000009" w:usb3="00000000" w:csb0="000001FF" w:csb1="00000000"/>
    <w:embedRegular r:id="rId12" w:fontKey="{13108394-BDC5-8543-B37D-F935496F0EEB}"/>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3" w:fontKey="{B5D64E0E-15F2-0141-9915-15C6BC44351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3161" w14:textId="12C2C374" w:rsidR="00017567" w:rsidRPr="00C468B3" w:rsidRDefault="00017567" w:rsidP="00590BB9">
    <w:pPr>
      <w:pStyle w:val="Footer"/>
      <w:tabs>
        <w:tab w:val="clear" w:pos="9360"/>
        <w:tab w:val="right" w:pos="10350"/>
      </w:tabs>
      <w:rPr>
        <w:rFonts w:ascii="Calibri" w:hAnsi="Calibri" w:cs="Calibri"/>
        <w:color w:val="C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38449" w14:textId="77777777" w:rsidR="00E501AC" w:rsidRDefault="00E501AC" w:rsidP="00017567">
      <w:r>
        <w:separator/>
      </w:r>
    </w:p>
  </w:footnote>
  <w:footnote w:type="continuationSeparator" w:id="0">
    <w:p w14:paraId="3103DA61" w14:textId="77777777" w:rsidR="00E501AC" w:rsidRDefault="00E501AC" w:rsidP="0001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5610" w14:textId="77777777" w:rsidR="008A6A50" w:rsidRDefault="00E501AC">
    <w:pPr>
      <w:pStyle w:val="Header"/>
    </w:pPr>
    <w:r>
      <w:rPr>
        <w:noProof/>
      </w:rPr>
      <w:pict w14:anchorId="6607E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7344" o:spid="_x0000_s1025" type="#_x0000_t75" alt="watermark" style="position:absolute;margin-left:0;margin-top:0;width:353.05pt;height:558pt;z-index:-251657728;mso-wrap-edited:f;mso-width-percent:0;mso-height-percent:0;mso-position-horizontal:center;mso-position-horizontal-relative:margin;mso-position-vertical:center;mso-position-vertical-relative:margin;mso-width-percent:0;mso-height-percent:0"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3C57" w14:textId="719915C9" w:rsidR="00D545B0" w:rsidRDefault="00AB1240">
    <w:pPr>
      <w:pStyle w:val="Header"/>
    </w:pPr>
    <w:r>
      <w:rPr>
        <w:noProof/>
      </w:rPr>
      <w:drawing>
        <wp:inline distT="0" distB="0" distL="0" distR="0" wp14:anchorId="18E5B5F6" wp14:editId="3F824E3F">
          <wp:extent cx="1147058" cy="1401417"/>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rotWithShape="1">
                  <a:blip r:embed="rId1"/>
                  <a:srcRect r="116"/>
                  <a:stretch/>
                </pic:blipFill>
                <pic:spPr bwMode="auto">
                  <a:xfrm>
                    <a:off x="0" y="0"/>
                    <a:ext cx="1196525" cy="1461853"/>
                  </a:xfrm>
                  <a:prstGeom prst="rect">
                    <a:avLst/>
                  </a:prstGeom>
                  <a:noFill/>
                  <a:ln>
                    <a:noFill/>
                  </a:ln>
                  <a:extLst>
                    <a:ext uri="{53640926-AAD7-44D8-BBD7-CCE9431645EC}">
                      <a14:shadowObscured xmlns:a14="http://schemas.microsoft.com/office/drawing/2010/main"/>
                    </a:ext>
                  </a:extLst>
                </pic:spPr>
              </pic:pic>
            </a:graphicData>
          </a:graphic>
        </wp:inline>
      </w:drawing>
    </w:r>
    <w:r w:rsidR="00085560">
      <w:rPr>
        <w:noProof/>
      </w:rPr>
      <mc:AlternateContent>
        <mc:Choice Requires="wps">
          <w:drawing>
            <wp:anchor distT="0" distB="0" distL="114300" distR="114300" simplePos="0" relativeHeight="251657728" behindDoc="0" locked="0" layoutInCell="1" allowOverlap="1" wp14:anchorId="7C14B1BD" wp14:editId="40F3A422">
              <wp:simplePos x="0" y="0"/>
              <wp:positionH relativeFrom="column">
                <wp:posOffset>0</wp:posOffset>
              </wp:positionH>
              <wp:positionV relativeFrom="paragraph">
                <wp:posOffset>0</wp:posOffset>
              </wp:positionV>
              <wp:extent cx="1672590" cy="14922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2590"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11F9C" w14:textId="450B058A" w:rsidR="00085560" w:rsidRDefault="00085560" w:rsidP="00AB1240">
                          <w:pPr>
                            <w:ind w:right="-30"/>
                          </w:pP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type w14:anchorId="7C14B1BD" id="_x0000_t202" coordsize="21600,21600" o:spt="202" path="m,l,21600r21600,l21600,xe">
              <v:stroke joinstyle="miter"/>
              <v:path gradientshapeok="t" o:connecttype="rect"/>
            </v:shapetype>
            <v:shape id="Text Box 2" o:spid="_x0000_s1026" type="#_x0000_t202" style="position:absolute;margin-left:0;margin-top:0;width:131.7pt;height:117.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" filled="f" stroked="f">
              <v:path arrowok="t"/>
              <v:textbox style="mso-fit-shape-to-text:t">
                <w:txbxContent>
                  <w:p w14:paraId="6E711F9C" w14:textId="450B058A" w:rsidR="00085560" w:rsidRDefault="00085560" w:rsidP="00AB1240">
                    <w:pPr>
                      <w:ind w:right="-30"/>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B29F" w14:textId="51A81031" w:rsidR="00B72541" w:rsidRDefault="00B72541" w:rsidP="00085560">
    <w:pPr>
      <w:pStyle w:val="Header"/>
      <w:tabs>
        <w:tab w:val="clear" w:pos="4680"/>
        <w:tab w:val="clear" w:pos="9360"/>
        <w:tab w:val="left" w:pos="2508"/>
        <w:tab w:val="left" w:pos="2880"/>
        <w:tab w:val="left" w:pos="3539"/>
      </w:tabs>
    </w:pPr>
    <w:r>
      <w:tab/>
    </w:r>
    <w:r>
      <w:rPr>
        <w:noProof/>
      </w:rPr>
      <mc:AlternateContent>
        <mc:Choice Requires="wps">
          <w:drawing>
            <wp:anchor distT="0" distB="0" distL="114300" distR="114300" simplePos="0" relativeHeight="251656704" behindDoc="0" locked="0" layoutInCell="1" allowOverlap="1" wp14:anchorId="036FF263" wp14:editId="78B27E27">
              <wp:simplePos x="0" y="0"/>
              <wp:positionH relativeFrom="column">
                <wp:posOffset>-451485</wp:posOffset>
              </wp:positionH>
              <wp:positionV relativeFrom="paragraph">
                <wp:posOffset>-228600</wp:posOffset>
              </wp:positionV>
              <wp:extent cx="1672590" cy="14922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2590"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76940" w14:textId="77777777" w:rsidR="00B72541" w:rsidRDefault="00B72541" w:rsidP="00B72541">
                          <w:pPr>
                            <w:ind w:left="630" w:right="-30" w:hanging="90"/>
                          </w:pPr>
                          <w:r>
                            <w:rPr>
                              <w:noProof/>
                            </w:rPr>
                            <w:drawing>
                              <wp:inline distT="0" distB="0" distL="0" distR="0" wp14:anchorId="30AD7FB0" wp14:editId="29D9193E">
                                <wp:extent cx="1047135" cy="1279336"/>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1"/>
                                        <a:srcRect r="116"/>
                                        <a:stretch/>
                                      </pic:blipFill>
                                      <pic:spPr bwMode="auto">
                                        <a:xfrm>
                                          <a:off x="0" y="0"/>
                                          <a:ext cx="1098029" cy="134151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type w14:anchorId="036FF263" id="_x0000_t202" coordsize="21600,21600" o:spt="202" path="m,l,21600r21600,l21600,xe">
              <v:stroke joinstyle="miter"/>
              <v:path gradientshapeok="t" o:connecttype="rect"/>
            </v:shapetype>
            <v:shape id="_x0000_s1027" type="#_x0000_t202" style="position:absolute;margin-left:-35.55pt;margin-top:-18pt;width:131.7pt;height:117.5pt;z-index:25165619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" filled="f" stroked="f">
              <v:path arrowok="t"/>
              <v:textbox style="mso-fit-shape-to-text:t">
                <w:txbxContent>
                  <w:p w14:paraId="29976940" w14:textId="77777777" w:rsidR="00B72541" w:rsidRDefault="00B72541" w:rsidP="00B72541">
                    <w:pPr>
                      <w:ind w:left="630" w:right="-30" w:hanging="90"/>
                    </w:pPr>
                    <w:r>
                      <w:rPr>
                        <w:noProof/>
                      </w:rPr>
                      <w:drawing>
                        <wp:inline distT="0" distB="0" distL="0" distR="0" wp14:anchorId="30AD7FB0" wp14:editId="29D9193E">
                          <wp:extent cx="1047135" cy="1279336"/>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2"/>
                                  <a:srcRect r="116"/>
                                  <a:stretch/>
                                </pic:blipFill>
                                <pic:spPr bwMode="auto">
                                  <a:xfrm>
                                    <a:off x="0" y="0"/>
                                    <a:ext cx="1098029" cy="134151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t xml:space="preserve"> </w:t>
    </w:r>
    <w:r>
      <w:tab/>
    </w:r>
    <w:r w:rsidR="00085560">
      <w:tab/>
    </w:r>
  </w:p>
  <w:p w14:paraId="7508662E" w14:textId="49D85937" w:rsidR="008A6A50" w:rsidRPr="00B72541" w:rsidRDefault="007403B1" w:rsidP="00B72541">
    <w:pPr>
      <w:pStyle w:val="Header"/>
      <w:tabs>
        <w:tab w:val="clear" w:pos="4680"/>
        <w:tab w:val="clear" w:pos="9360"/>
        <w:tab w:val="left" w:pos="3278"/>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75929"/>
    <w:multiLevelType w:val="hybridMultilevel"/>
    <w:tmpl w:val="16029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2E3D13"/>
    <w:multiLevelType w:val="hybridMultilevel"/>
    <w:tmpl w:val="70421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12260"/>
    <w:multiLevelType w:val="hybridMultilevel"/>
    <w:tmpl w:val="1026E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148577">
    <w:abstractNumId w:val="1"/>
  </w:num>
  <w:num w:numId="2" w16cid:durableId="445390198">
    <w:abstractNumId w:val="2"/>
  </w:num>
  <w:num w:numId="3" w16cid:durableId="92067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A4"/>
    <w:rsid w:val="00015A45"/>
    <w:rsid w:val="00017567"/>
    <w:rsid w:val="00035AEA"/>
    <w:rsid w:val="00052329"/>
    <w:rsid w:val="0007476C"/>
    <w:rsid w:val="00076374"/>
    <w:rsid w:val="000831A6"/>
    <w:rsid w:val="00085560"/>
    <w:rsid w:val="00096E31"/>
    <w:rsid w:val="000A20BF"/>
    <w:rsid w:val="000C6218"/>
    <w:rsid w:val="00134449"/>
    <w:rsid w:val="0015169F"/>
    <w:rsid w:val="00153BB2"/>
    <w:rsid w:val="00154887"/>
    <w:rsid w:val="001616F8"/>
    <w:rsid w:val="00162432"/>
    <w:rsid w:val="00165846"/>
    <w:rsid w:val="00193139"/>
    <w:rsid w:val="001F0830"/>
    <w:rsid w:val="002122E9"/>
    <w:rsid w:val="00230E30"/>
    <w:rsid w:val="00230F02"/>
    <w:rsid w:val="00263B84"/>
    <w:rsid w:val="0026631B"/>
    <w:rsid w:val="0029335A"/>
    <w:rsid w:val="00293831"/>
    <w:rsid w:val="002E2D02"/>
    <w:rsid w:val="00327B80"/>
    <w:rsid w:val="0033474F"/>
    <w:rsid w:val="0035465A"/>
    <w:rsid w:val="00363F37"/>
    <w:rsid w:val="003D6613"/>
    <w:rsid w:val="003F2C65"/>
    <w:rsid w:val="00413A22"/>
    <w:rsid w:val="0043197E"/>
    <w:rsid w:val="00437DCC"/>
    <w:rsid w:val="004A2EE1"/>
    <w:rsid w:val="004B0B48"/>
    <w:rsid w:val="004D28C7"/>
    <w:rsid w:val="004F0EA4"/>
    <w:rsid w:val="00512E03"/>
    <w:rsid w:val="005368C7"/>
    <w:rsid w:val="00542681"/>
    <w:rsid w:val="00564B97"/>
    <w:rsid w:val="005665AC"/>
    <w:rsid w:val="0058685A"/>
    <w:rsid w:val="00590BB9"/>
    <w:rsid w:val="005B681A"/>
    <w:rsid w:val="005D286A"/>
    <w:rsid w:val="00623E1F"/>
    <w:rsid w:val="00637A69"/>
    <w:rsid w:val="0064064A"/>
    <w:rsid w:val="00680262"/>
    <w:rsid w:val="006C7575"/>
    <w:rsid w:val="006D30F4"/>
    <w:rsid w:val="007403B1"/>
    <w:rsid w:val="00777199"/>
    <w:rsid w:val="00780982"/>
    <w:rsid w:val="007A4E51"/>
    <w:rsid w:val="007C2037"/>
    <w:rsid w:val="007C6461"/>
    <w:rsid w:val="007E670C"/>
    <w:rsid w:val="008072A0"/>
    <w:rsid w:val="0081357C"/>
    <w:rsid w:val="00820222"/>
    <w:rsid w:val="00824784"/>
    <w:rsid w:val="00841A70"/>
    <w:rsid w:val="00845D7A"/>
    <w:rsid w:val="00873796"/>
    <w:rsid w:val="008A6A50"/>
    <w:rsid w:val="008B082E"/>
    <w:rsid w:val="008C5097"/>
    <w:rsid w:val="008D3899"/>
    <w:rsid w:val="009021F2"/>
    <w:rsid w:val="00914335"/>
    <w:rsid w:val="00944982"/>
    <w:rsid w:val="00991DE2"/>
    <w:rsid w:val="009A2F05"/>
    <w:rsid w:val="009E3F59"/>
    <w:rsid w:val="00A00B17"/>
    <w:rsid w:val="00A13CBE"/>
    <w:rsid w:val="00A13FDD"/>
    <w:rsid w:val="00A34499"/>
    <w:rsid w:val="00A355F0"/>
    <w:rsid w:val="00AB1240"/>
    <w:rsid w:val="00AC4C61"/>
    <w:rsid w:val="00AF418C"/>
    <w:rsid w:val="00AF6211"/>
    <w:rsid w:val="00B06699"/>
    <w:rsid w:val="00B23B00"/>
    <w:rsid w:val="00B257DD"/>
    <w:rsid w:val="00B32B2D"/>
    <w:rsid w:val="00B344B5"/>
    <w:rsid w:val="00B51EF2"/>
    <w:rsid w:val="00B5787C"/>
    <w:rsid w:val="00B72541"/>
    <w:rsid w:val="00B83B09"/>
    <w:rsid w:val="00BA301E"/>
    <w:rsid w:val="00BB3DC5"/>
    <w:rsid w:val="00BC29C0"/>
    <w:rsid w:val="00C0193C"/>
    <w:rsid w:val="00C04A81"/>
    <w:rsid w:val="00C21297"/>
    <w:rsid w:val="00C468B3"/>
    <w:rsid w:val="00C46FA2"/>
    <w:rsid w:val="00C67FA0"/>
    <w:rsid w:val="00C94236"/>
    <w:rsid w:val="00C97506"/>
    <w:rsid w:val="00CB33BD"/>
    <w:rsid w:val="00CF215C"/>
    <w:rsid w:val="00D01D97"/>
    <w:rsid w:val="00D133A5"/>
    <w:rsid w:val="00D40448"/>
    <w:rsid w:val="00D542D3"/>
    <w:rsid w:val="00D545B0"/>
    <w:rsid w:val="00DA1CEE"/>
    <w:rsid w:val="00DA561A"/>
    <w:rsid w:val="00DB0791"/>
    <w:rsid w:val="00DE5A34"/>
    <w:rsid w:val="00E151BF"/>
    <w:rsid w:val="00E501AC"/>
    <w:rsid w:val="00E54BC9"/>
    <w:rsid w:val="00E72CBB"/>
    <w:rsid w:val="00E92433"/>
    <w:rsid w:val="00E92537"/>
    <w:rsid w:val="00E93F9A"/>
    <w:rsid w:val="00EA7925"/>
    <w:rsid w:val="00EC1ECD"/>
    <w:rsid w:val="00EF4226"/>
    <w:rsid w:val="00F258B1"/>
    <w:rsid w:val="00F34B56"/>
    <w:rsid w:val="00F37F39"/>
    <w:rsid w:val="00F652AF"/>
    <w:rsid w:val="00F65E89"/>
    <w:rsid w:val="00FA31F7"/>
    <w:rsid w:val="00FC160A"/>
    <w:rsid w:val="00FC20B9"/>
    <w:rsid w:val="00FC3773"/>
    <w:rsid w:val="00FE6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BA6DFC"/>
  <w15:docId w15:val="{640EA34E-F1B7-2C48-8D4C-B512EB0F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982"/>
    <w:rPr>
      <w:sz w:val="24"/>
    </w:rPr>
  </w:style>
  <w:style w:type="paragraph" w:styleId="Heading1">
    <w:name w:val="heading 1"/>
    <w:basedOn w:val="Normal"/>
    <w:next w:val="Normal"/>
    <w:link w:val="Heading1Char"/>
    <w:qFormat/>
    <w:rsid w:val="00D542D3"/>
    <w:pPr>
      <w:autoSpaceDE w:val="0"/>
      <w:autoSpaceDN w:val="0"/>
      <w:adjustRightInd w:val="0"/>
      <w:spacing w:line="280" w:lineRule="exact"/>
      <w:outlineLvl w:val="0"/>
    </w:pPr>
    <w:rPr>
      <w:rFonts w:ascii="Saira Condensed Condensed Mediu" w:hAnsi="Saira Condensed Condensed Mediu" w:cs="Saira Condensed Condensed Mediu"/>
      <w:color w:val="B30437"/>
      <w:sz w:val="20"/>
    </w:rPr>
  </w:style>
  <w:style w:type="paragraph" w:styleId="Heading4">
    <w:name w:val="heading 4"/>
    <w:basedOn w:val="Default"/>
    <w:next w:val="Normal"/>
    <w:qFormat/>
    <w:rsid w:val="00D542D3"/>
    <w:pPr>
      <w:spacing w:line="280" w:lineRule="exact"/>
      <w:outlineLvl w:val="3"/>
    </w:pPr>
    <w:rPr>
      <w:color w:val="B3043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0982"/>
    <w:rPr>
      <w:rFonts w:ascii="Garamond" w:hAnsi="Garamond"/>
      <w:b/>
      <w:spacing w:val="-4"/>
      <w:sz w:val="18"/>
    </w:rPr>
  </w:style>
  <w:style w:type="paragraph" w:styleId="BalloonText">
    <w:name w:val="Balloon Text"/>
    <w:basedOn w:val="Normal"/>
    <w:link w:val="BalloonTextChar"/>
    <w:rsid w:val="00512E03"/>
    <w:rPr>
      <w:rFonts w:ascii="Tahoma" w:hAnsi="Tahoma"/>
      <w:sz w:val="16"/>
      <w:szCs w:val="16"/>
    </w:rPr>
  </w:style>
  <w:style w:type="character" w:customStyle="1" w:styleId="BalloonTextChar">
    <w:name w:val="Balloon Text Char"/>
    <w:link w:val="BalloonText"/>
    <w:rsid w:val="00512E03"/>
    <w:rPr>
      <w:rFonts w:ascii="Tahoma" w:hAnsi="Tahoma" w:cs="Tahoma"/>
      <w:sz w:val="16"/>
      <w:szCs w:val="16"/>
    </w:rPr>
  </w:style>
  <w:style w:type="paragraph" w:styleId="Header">
    <w:name w:val="header"/>
    <w:basedOn w:val="Normal"/>
    <w:link w:val="HeaderChar"/>
    <w:uiPriority w:val="99"/>
    <w:rsid w:val="00017567"/>
    <w:pPr>
      <w:tabs>
        <w:tab w:val="center" w:pos="4680"/>
        <w:tab w:val="right" w:pos="9360"/>
      </w:tabs>
    </w:pPr>
  </w:style>
  <w:style w:type="character" w:customStyle="1" w:styleId="HeaderChar">
    <w:name w:val="Header Char"/>
    <w:link w:val="Header"/>
    <w:uiPriority w:val="99"/>
    <w:rsid w:val="00017567"/>
    <w:rPr>
      <w:sz w:val="24"/>
    </w:rPr>
  </w:style>
  <w:style w:type="paragraph" w:styleId="Footer">
    <w:name w:val="footer"/>
    <w:basedOn w:val="Normal"/>
    <w:link w:val="FooterChar"/>
    <w:uiPriority w:val="99"/>
    <w:rsid w:val="00017567"/>
    <w:pPr>
      <w:tabs>
        <w:tab w:val="center" w:pos="4680"/>
        <w:tab w:val="right" w:pos="9360"/>
      </w:tabs>
    </w:pPr>
  </w:style>
  <w:style w:type="character" w:customStyle="1" w:styleId="FooterChar">
    <w:name w:val="Footer Char"/>
    <w:link w:val="Footer"/>
    <w:uiPriority w:val="99"/>
    <w:rsid w:val="00017567"/>
    <w:rPr>
      <w:sz w:val="24"/>
    </w:rPr>
  </w:style>
  <w:style w:type="character" w:styleId="Hyperlink">
    <w:name w:val="Hyperlink"/>
    <w:basedOn w:val="DefaultParagraphFont"/>
    <w:rsid w:val="0007476C"/>
    <w:rPr>
      <w:color w:val="0000FF"/>
      <w:u w:val="single"/>
    </w:rPr>
  </w:style>
  <w:style w:type="character" w:customStyle="1" w:styleId="EmailStyle231">
    <w:name w:val="EmailStyle231"/>
    <w:basedOn w:val="DefaultParagraphFont"/>
    <w:semiHidden/>
    <w:rsid w:val="0007476C"/>
    <w:rPr>
      <w:rFonts w:ascii="Arial" w:hAnsi="Arial" w:cs="Arial"/>
      <w:color w:val="000080"/>
      <w:sz w:val="20"/>
      <w:szCs w:val="20"/>
    </w:rPr>
  </w:style>
  <w:style w:type="paragraph" w:styleId="ListParagraph">
    <w:name w:val="List Paragraph"/>
    <w:basedOn w:val="Normal"/>
    <w:uiPriority w:val="34"/>
    <w:qFormat/>
    <w:rsid w:val="00EF422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468B3"/>
    <w:rPr>
      <w:color w:val="605E5C"/>
      <w:shd w:val="clear" w:color="auto" w:fill="E1DFDD"/>
    </w:rPr>
  </w:style>
  <w:style w:type="paragraph" w:customStyle="1" w:styleId="Default">
    <w:name w:val="Default"/>
    <w:rsid w:val="00154887"/>
    <w:pPr>
      <w:autoSpaceDE w:val="0"/>
      <w:autoSpaceDN w:val="0"/>
      <w:adjustRightInd w:val="0"/>
    </w:pPr>
    <w:rPr>
      <w:rFonts w:ascii="Saira Condensed Condensed Light" w:hAnsi="Saira Condensed Condensed Light" w:cs="Saira Condensed Condensed Light"/>
      <w:color w:val="000000"/>
      <w:sz w:val="24"/>
      <w:szCs w:val="24"/>
    </w:rPr>
  </w:style>
  <w:style w:type="character" w:styleId="FollowedHyperlink">
    <w:name w:val="FollowedHyperlink"/>
    <w:basedOn w:val="DefaultParagraphFont"/>
    <w:semiHidden/>
    <w:unhideWhenUsed/>
    <w:rsid w:val="00944982"/>
    <w:rPr>
      <w:color w:val="800080" w:themeColor="followedHyperlink"/>
      <w:u w:val="single"/>
    </w:rPr>
  </w:style>
  <w:style w:type="character" w:customStyle="1" w:styleId="Heading1Char">
    <w:name w:val="Heading 1 Char"/>
    <w:basedOn w:val="DefaultParagraphFont"/>
    <w:link w:val="Heading1"/>
    <w:rsid w:val="00D542D3"/>
    <w:rPr>
      <w:rFonts w:ascii="Saira Condensed Condensed Mediu" w:hAnsi="Saira Condensed Condensed Mediu" w:cs="Saira Condensed Condensed Mediu"/>
      <w:color w:val="B30437"/>
    </w:rPr>
  </w:style>
  <w:style w:type="paragraph" w:styleId="NoSpacing">
    <w:name w:val="No Spacing"/>
    <w:link w:val="NoSpacingChar"/>
    <w:uiPriority w:val="1"/>
    <w:qFormat/>
    <w:rsid w:val="00845D7A"/>
    <w:pPr>
      <w:jc w:val="both"/>
    </w:pPr>
    <w:rPr>
      <w:rFonts w:eastAsia="SimSun"/>
      <w:color w:val="000000" w:themeColor="text1"/>
      <w:sz w:val="22"/>
      <w:szCs w:val="22"/>
      <w:lang w:eastAsia="zh-CN"/>
    </w:rPr>
  </w:style>
  <w:style w:type="character" w:customStyle="1" w:styleId="NoSpacingChar">
    <w:name w:val="No Spacing Char"/>
    <w:link w:val="NoSpacing"/>
    <w:uiPriority w:val="1"/>
    <w:rsid w:val="00845D7A"/>
    <w:rPr>
      <w:rFonts w:eastAsia="SimSun"/>
      <w:color w:val="000000" w:themeColor="text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C69F9-B937-BD49-A62A-A489B9B7A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MERIT_WORD</vt:lpstr>
    </vt:vector>
  </TitlesOfParts>
  <Company>Stevens Institute of Technology</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MERIT_WORD</dc:title>
  <dc:subject/>
  <dc:creator>Information Department</dc:creator>
  <cp:keywords/>
  <dc:description/>
  <cp:lastModifiedBy>Jesse Melchor</cp:lastModifiedBy>
  <cp:revision>3</cp:revision>
  <cp:lastPrinted>2026-07-28T14:00:00Z</cp:lastPrinted>
  <dcterms:created xsi:type="dcterms:W3CDTF">2026-07-28T14:00:00Z</dcterms:created>
  <dcterms:modified xsi:type="dcterms:W3CDTF">2026-07-28T14:00:00Z</dcterms:modified>
  <cp:category>Accept (SH) Stage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2026-07-28T14:00:53Z</vt:lpwstr>
  </property>
  <property fmtid="{D5CDD505-2E9C-101B-9397-08002B2CF9AE}" pid="4" name="MSIP_Label_a73fd474-4f3c-44ed-88fb-5cc4bd2471bf_Method">
    <vt:lpwstr>Privileged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82a64e29-5431-42cf-9c45-0d9bb1056954</vt:lpwstr>
  </property>
  <property fmtid="{D5CDD505-2E9C-101B-9397-08002B2CF9AE}" pid="8" name="MSIP_Label_a73fd474-4f3c-44ed-88fb-5cc4bd2471bf_ContentBits">
    <vt:lpwstr>0</vt:lpwstr>
  </property>
  <property fmtid="{D5CDD505-2E9C-101B-9397-08002B2CF9AE}" pid="9" name="MSIP_Label_a73fd474-4f3c-44ed-88fb-5cc4bd2471bf_Tag">
    <vt:lpwstr>50, 0, 1, 1</vt:lpwstr>
  </property>
</Properties>
</file>